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bookmarkStart w:id="0" w:name="_GoBack"/>
      <w:bookmarkEnd w:id="0"/>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rPr>
      </w:pPr>
      <w:r>
        <w:rPr>
          <w:rStyle w:val="8"/>
          <w:rFonts w:hint="eastAsia" w:ascii="黑体" w:hAnsi="黑体" w:eastAsia="黑体" w:cs="黑体"/>
          <w:b w:val="0"/>
          <w:bCs/>
          <w:color w:val="auto"/>
          <w:spacing w:val="-4"/>
          <w:sz w:val="32"/>
          <w:szCs w:val="32"/>
          <w:highlight w:val="none"/>
          <w:lang w:val="en-US" w:eastAsia="zh-CN"/>
        </w:rPr>
        <w:t>(一)</w:t>
      </w:r>
      <w:r>
        <w:rPr>
          <w:rStyle w:val="8"/>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spacing w:line="600" w:lineRule="exact"/>
        <w:ind w:firstLine="640" w:firstLineChars="200"/>
        <w:jc w:val="left"/>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1）加强党的建设。落实基层党建工作责任制，加强党员队伍的思想建设、组织建设、作风建设、制度建设和党风廉政建设；宣传贯彻党的路线方针政策和法律法规，加强党对意识形态和统一战线工作的领导；指导工会、共青团、妇联等群团工作。坚持党管武装的基本原则和制度，协调各方力量，对镇人民武装工作实行统一管理。</w:t>
      </w:r>
    </w:p>
    <w:p>
      <w:pPr>
        <w:spacing w:line="600" w:lineRule="exact"/>
        <w:ind w:firstLine="640" w:firstLineChars="200"/>
        <w:jc w:val="left"/>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2）组织领导城乡区域经济工作。制定地方经济社会发展规划和年度计划并组织实施；坚持依法行政，推进民主政治，加强基层政权建设；做好居民服务管理和社区工作，推进乡村振兴；规范经济管理，组织指导经济发展和经济结构调整；加强综合生产能力建设；加强基础设施建设；健全社会化服务体系，完善产业支持保护体系，推进产业现代化；为辖区内企业做好服务工作，优化投资环境、人才服务、创业创新；积极维护经济秩序，落实“放管服”改革各项举措，着力提升经济发展的质量和水平，增加居民收入，不断提高人民生活水平。</w:t>
      </w:r>
    </w:p>
    <w:p>
      <w:pPr>
        <w:spacing w:line="600" w:lineRule="exact"/>
        <w:ind w:firstLine="640" w:firstLineChars="200"/>
        <w:jc w:val="left"/>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3）组织公共服务。加强公共设施建设，开展就业和社会保障等服务，发展科教文卫事业，组织实施与居民生活密切相关的各项公共服务事项，着力解决群众生产生活中的问题；制订公共服务事项目录，加强公共服务体系建设。</w:t>
      </w:r>
    </w:p>
    <w:p>
      <w:pPr>
        <w:spacing w:line="600" w:lineRule="exact"/>
        <w:ind w:firstLine="640" w:firstLineChars="200"/>
        <w:jc w:val="left"/>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 xml:space="preserve">（4）实施公共管理。推进政务、居务公开，抓好卫生健康、人口计划生育工作，实施一票否决制，保障妇女儿童合法权益；加强自然资源管理、生态环境保护和修复工作；负责辖区内城镇管理、控违拆违、征地拆迁等综合性管理工作；负责辖区内统计工作。 </w:t>
      </w:r>
    </w:p>
    <w:p>
      <w:pPr>
        <w:spacing w:line="600" w:lineRule="exact"/>
        <w:ind w:firstLine="640" w:firstLineChars="200"/>
        <w:jc w:val="left"/>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5）维护公共安全。承担辖区内社会治安综合治理、信访、平安建设、应急管理、安全生产、脱贫攻坚等有关工作；对辖区内各单位综合治理工作实行一票否决权；强化法制宣传教育、畅通诉求渠道、调解民事纠纷、化解社会矛盾，处理群众性突发事件，做好社会安置帮教、社区矫正和特殊群体帮教帮扶，维护社会秩序和社会稳定；组织抢险救灾，及时上报和处置重大社情、疫情、险情等，保护人民群众的生命财产安全；承担民兵预备役、征兵、退役军人服务、拥军优属工作。</w:t>
      </w:r>
    </w:p>
    <w:p>
      <w:pPr>
        <w:spacing w:line="600" w:lineRule="exact"/>
        <w:ind w:firstLine="640" w:firstLineChars="200"/>
        <w:jc w:val="left"/>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（6）监督执法管理。对辖区内各类行政执法工作进行统筹协调，组织开展群众监督和社会监督。</w:t>
      </w:r>
    </w:p>
    <w:p>
      <w:pPr>
        <w:spacing w:line="600" w:lineRule="exact"/>
        <w:ind w:firstLine="640" w:firstLineChars="200"/>
        <w:jc w:val="left"/>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（7）动员社会参与。动员辖区内各类单位、社会组织居民等社会力量参与社会治理，为乡镇发展服务。</w:t>
      </w:r>
    </w:p>
    <w:p>
      <w:pPr>
        <w:spacing w:line="600" w:lineRule="exact"/>
        <w:ind w:firstLine="640" w:firstLineChars="200"/>
        <w:jc w:val="left"/>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rPr>
        <w:t>（8）保障居民自治。指导居民委员会建设，健全居民自治平台，组织驻镇单位和居民参与社区建设、管理。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5"/>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塔什店镇人民政府编制数70人，实有人数86人，其中：在职65人；退休21人；离休0人。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宋体" w:eastAsia="仿宋_GB2312"/>
          <w:b/>
          <w:color w:val="auto"/>
          <w:sz w:val="32"/>
          <w:szCs w:val="32"/>
          <w:highlight w:val="none"/>
          <w:lang w:eastAsia="zh-CN"/>
        </w:rPr>
      </w:pPr>
      <w:r>
        <w:rPr>
          <w:rFonts w:hint="eastAsia" w:ascii="仿宋" w:hAnsi="仿宋" w:eastAsia="仿宋" w:cs="仿宋"/>
          <w:b w:val="0"/>
          <w:bCs/>
          <w:color w:val="auto"/>
          <w:kern w:val="2"/>
          <w:sz w:val="32"/>
          <w:szCs w:val="32"/>
          <w:highlight w:val="none"/>
          <w:lang w:val="en-US" w:eastAsia="zh-CN" w:bidi="ar-SA"/>
        </w:rPr>
        <w:t>实现工业总产值35亿元，洽谈招商引资项目40个，落地建设项目15个，完成固定资产投资5亿元。确保社会大局持续稳定，经济实力显著增强，生态环境不断改善，人民生活水平普遍提高，社会文明程度全面提升。把塔什店镇建成生态旅游的“后花园”、巴州重要的商贸物流基地、丝绸之路经济带核心区上的循环经济示范区。</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40" w:firstLineChars="200"/>
        <w:textAlignment w:val="auto"/>
        <w:rPr>
          <w:rStyle w:val="8"/>
          <w:rFonts w:hint="eastAsia" w:ascii="仿宋" w:hAnsi="仿宋" w:eastAsia="仿宋" w:cs="仿宋"/>
          <w:b w:val="0"/>
          <w:bCs/>
          <w:color w:val="auto"/>
          <w:spacing w:val="-4"/>
          <w:sz w:val="32"/>
          <w:szCs w:val="32"/>
          <w:highlight w:val="none"/>
          <w:lang w:val="en-US" w:eastAsia="zh-CN"/>
        </w:rPr>
      </w:pPr>
      <w:r>
        <w:rPr>
          <w:rFonts w:hint="eastAsia" w:ascii="仿宋" w:hAnsi="仿宋" w:eastAsia="仿宋" w:cs="仿宋"/>
          <w:b w:val="0"/>
          <w:bCs/>
          <w:color w:val="auto"/>
          <w:kern w:val="2"/>
          <w:sz w:val="32"/>
          <w:szCs w:val="32"/>
          <w:highlight w:val="none"/>
          <w:lang w:val="en-US" w:eastAsia="zh-CN" w:bidi="ar-SA"/>
        </w:rPr>
        <w:t>塔什店镇人民政府</w:t>
      </w:r>
      <w:r>
        <w:rPr>
          <w:rStyle w:val="8"/>
          <w:rFonts w:hint="eastAsia" w:ascii="仿宋" w:hAnsi="仿宋" w:eastAsia="仿宋" w:cs="仿宋"/>
          <w:b w:val="0"/>
          <w:bCs/>
          <w:color w:val="auto"/>
          <w:spacing w:val="-4"/>
          <w:sz w:val="32"/>
          <w:szCs w:val="32"/>
          <w:highlight w:val="none"/>
          <w:lang w:val="en-US" w:eastAsia="zh-CN"/>
        </w:rPr>
        <w:t>2023年通过本部门预算支出，确保了65名在职人员的工资、津贴、补贴、社保、绩效、公积金等以及21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2023年我部门年初安排预算数为1437.2万元，其中:上级安排1.1万元,本级安排1436.1万元，其他资金0万元。</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我部门年初安排预算数1437.2万元，年中调整+353.55万元，调整后全年预算数1790.75万元，预算调整率24.60%。</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我单位2023年度部门整体支出为1790.75万元，其中：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1496.27</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294.48</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部门专项-乡镇人大达标活动经费项目0.06万元、新疆新森农生物科技有限责任公司污水污泥无害化处理及资源循环利用建设项目“三通一平”工程项目20万元、巴财教（2022）52号关于提前下达2023年自治区补助地方美术馆、公共图书馆、文化馆（站）免费开放补助资金项目0.08、塔什店镇小城镇基础设施建设二期工程（春节前农民工工资）项目240万元、延续项目-塔什店镇产业规划方案编制经费项目20万元、巴财企（2022）31号关于提前下达2023年国有企业退休人员社会化管理补助资金项目14.34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2023年我部门基本支出年初预算安排1375.9万元，全年预算数1496.27万元，全年实际支出数1496.27万元，其中：人员经费1346.87万元，公用经费149.4万元。全年预算执行率100.00%。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p>
    <w:p>
      <w:pPr>
        <w:pStyle w:val="2"/>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2023年本单位共安排6个项目，全年预算数为294.48万元，全年实际支出数294.48万元，执行率100.00%。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其中:上级安排项目2个14.42万元，本级安排项目4个280.06万元,其他资金安排项目0个0万元。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8"/>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我单位将部门单位整体绩效目标细化分解为具体的绩效指标，一级指标共1条，二级指标共1条，三级指标共6条，其中量化指标条数共6条，所有绩效指标均通过清晰、可衡量的指标值予以体现。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数量指标1：组织基层党组织开展普法培训次数,预期指标值为：&gt;=12次；监控节点完成值：=6次；评价实际完成值：=12次；指标完成率：100.00%；成效分析：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，提高了公职人员法制知识储备，提高依法行政办事标准。</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数量指标2：居民养老、医疗缴费人数,预期指标值为：</w:t>
      </w:r>
      <w:r>
        <w:rPr>
          <w:rStyle w:val="8"/>
          <w:rFonts w:hint="eastAsia" w:ascii="仿宋" w:hAnsi="仿宋" w:eastAsia="仿宋" w:cs="仿宋"/>
          <w:b w:val="0"/>
          <w:bCs/>
          <w:color w:val="auto"/>
          <w:spacing w:val="-4"/>
          <w:sz w:val="32"/>
          <w:szCs w:val="32"/>
          <w:highlight w:val="none"/>
          <w:lang w:val="en-US" w:eastAsia="zh-CN"/>
        </w:rPr>
        <w:tab/>
      </w:r>
      <w:r>
        <w:rPr>
          <w:rStyle w:val="8"/>
          <w:rFonts w:hint="eastAsia" w:ascii="仿宋" w:hAnsi="仿宋" w:eastAsia="仿宋" w:cs="仿宋"/>
          <w:b w:val="0"/>
          <w:bCs/>
          <w:color w:val="auto"/>
          <w:spacing w:val="-4"/>
          <w:sz w:val="32"/>
          <w:szCs w:val="32"/>
          <w:highlight w:val="none"/>
          <w:lang w:val="en-US" w:eastAsia="zh-CN"/>
        </w:rPr>
        <w:t>&gt;=790人；监控节点完成值：=513人；评价实际完成值：=2368人；指标完成率：0.00%；成效分析：通过养老保险、医疗保险征收率达标，改善了居民生活水平，提高医疗保障率。偏差原因：本年度镇域人口增多，造成养老征收超出预期指标；</w:t>
      </w:r>
      <w:r>
        <w:rPr>
          <w:rStyle w:val="8"/>
          <w:rFonts w:hint="eastAsia" w:ascii="仿宋" w:hAnsi="仿宋" w:eastAsia="仿宋" w:cs="仿宋"/>
          <w:b w:val="0"/>
          <w:color w:val="auto"/>
          <w:spacing w:val="-4"/>
          <w:sz w:val="32"/>
          <w:szCs w:val="32"/>
          <w:highlight w:val="none"/>
          <w:lang w:val="en-US" w:eastAsia="zh-CN"/>
        </w:rPr>
        <w:t>下一步措施：优化绩效目标设置，合理配置预算。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3：开展就业和社会保障类培训次数,预期指标值为：&gt;=4次；监控节点完成值：=2次；评价实际完成值：=4次；指标完成率：100.00%；成效分析：通过开展就业和社会保障类培训，提高了居民就业技能，增加居民收入，改善居民生活质量。</w:t>
      </w:r>
    </w:p>
    <w:p>
      <w:pPr>
        <w:pStyle w:val="2"/>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数量指标4：开展群众性文体活动次数,预期指标值为：&gt;=10次；监控节点完成值：=6次；评价实际完成值：=10次；指标完成率：100.00%；成效分析：通过开展群众性文体活动，丰富了群众精神生活，增强身体素质。</w:t>
      </w:r>
    </w:p>
    <w:p>
      <w:pPr>
        <w:pStyle w:val="2"/>
        <w:keepNext/>
        <w:keepLines/>
        <w:pageBreakBefore w:val="0"/>
        <w:widowControl w:val="0"/>
        <w:kinsoku/>
        <w:wordWrap/>
        <w:overflowPunct/>
        <w:topLinePunct w:val="0"/>
        <w:autoSpaceDE/>
        <w:autoSpaceDN/>
        <w:bidi w:val="0"/>
        <w:adjustRightInd/>
        <w:snapToGrid/>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5：预防性安全生产检查次数,预期指标值为：12次；监控节点完成值：=6次；评价实际完成值：=12次；指标完成率：100.00%；成效分析：通过此项职能，预防和减少了事故发生，保护群众生命和财产安全，促进企业可持续发展。</w:t>
      </w:r>
    </w:p>
    <w:p>
      <w:pPr>
        <w:pageBreakBefore w:val="0"/>
        <w:kinsoku/>
        <w:wordWrap/>
        <w:overflowPunct/>
        <w:topLinePunct w:val="0"/>
        <w:autoSpaceDE/>
        <w:autoSpaceDN/>
        <w:bidi w:val="0"/>
        <w:adjustRightInd/>
        <w:spacing w:line="600" w:lineRule="exact"/>
        <w:ind w:firstLine="624" w:firstLineChars="200"/>
        <w:textAlignment w:val="auto"/>
        <w:rPr>
          <w:rFonts w:hint="eastAsia" w:ascii="仿宋" w:hAnsi="仿宋" w:eastAsia="仿宋" w:cs="仿宋"/>
          <w:color w:val="auto"/>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数量指标6：为民办实事数量,预期指标值为：&gt;=8件；监控节点完成值：=4件；评价实际完成值：=7件；指标完成率：87.5%；成效分析：通过开展为民办实事工作，改善了居民生活水平，提升了服务群众能力。</w:t>
      </w:r>
      <w:r>
        <w:rPr>
          <w:rStyle w:val="8"/>
          <w:rFonts w:hint="eastAsia" w:ascii="仿宋" w:hAnsi="仿宋" w:eastAsia="仿宋" w:cs="仿宋"/>
          <w:b w:val="0"/>
          <w:color w:val="auto"/>
          <w:spacing w:val="-4"/>
          <w:sz w:val="32"/>
          <w:szCs w:val="32"/>
          <w:highlight w:val="none"/>
          <w:lang w:val="en-US" w:eastAsia="zh-CN"/>
        </w:rPr>
        <w:t>偏差原因：根据工作开展实际和资金合理配置完成为民办实事数量7件，；下一步措施：优化绩效目标设置，合理配置预算。</w:t>
      </w:r>
    </w:p>
    <w:p>
      <w:pPr>
        <w:pStyle w:val="2"/>
        <w:keepNext/>
        <w:keepLines/>
        <w:pageBreakBefore w:val="0"/>
        <w:widowControl w:val="0"/>
        <w:kinsoku/>
        <w:wordWrap/>
        <w:overflowPunct/>
        <w:topLinePunct w:val="0"/>
        <w:autoSpaceDE/>
        <w:autoSpaceDN/>
        <w:bidi w:val="0"/>
        <w:adjustRightInd/>
        <w:snapToGrid/>
        <w:ind w:firstLine="643" w:firstLineChars="200"/>
        <w:textAlignment w:val="auto"/>
        <w:rPr>
          <w:rFonts w:hint="eastAsia"/>
          <w:color w:val="auto"/>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bCs/>
          <w:color w:val="auto"/>
          <w:spacing w:val="-4"/>
          <w:sz w:val="32"/>
          <w:szCs w:val="32"/>
          <w:highlight w:val="none"/>
          <w:lang w:val="en-US" w:eastAsia="zh-CN"/>
        </w:rPr>
      </w:pP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ascii="黑体" w:hAnsi="黑体" w:eastAsia="黑体"/>
          <w:b w:val="0"/>
          <w:bCs w:val="0"/>
          <w:color w:val="auto"/>
          <w:spacing w:val="-4"/>
          <w:sz w:val="32"/>
          <w:szCs w:val="32"/>
          <w:highlight w:val="none"/>
        </w:rPr>
      </w:pPr>
      <w:r>
        <w:rPr>
          <w:rStyle w:val="8"/>
          <w:rFonts w:hint="eastAsia" w:ascii="黑体" w:hAnsi="黑体" w:eastAsia="黑体"/>
          <w:b w:val="0"/>
          <w:bCs w:val="0"/>
          <w:color w:val="auto"/>
          <w:spacing w:val="-4"/>
          <w:sz w:val="32"/>
          <w:szCs w:val="32"/>
          <w:highlight w:val="none"/>
          <w:lang w:val="en-US" w:eastAsia="zh-CN"/>
        </w:rPr>
        <w:t>四、</w:t>
      </w:r>
      <w:r>
        <w:rPr>
          <w:rStyle w:val="8"/>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2023年度部门整体支出绩效自评综合得分83.13分，评价结果为“良”。</w:t>
      </w:r>
    </w:p>
    <w:p>
      <w:pPr>
        <w:pStyle w:val="11"/>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lang w:eastAsia="zh-CN"/>
        </w:rPr>
      </w:pPr>
      <w:r>
        <w:rPr>
          <w:rStyle w:val="8"/>
          <w:rFonts w:hint="eastAsia" w:ascii="黑体" w:hAnsi="黑体" w:eastAsia="黑体" w:cs="黑体"/>
          <w:b w:val="0"/>
          <w:bCs w:val="0"/>
          <w:color w:val="auto"/>
          <w:spacing w:val="-4"/>
          <w:sz w:val="32"/>
          <w:szCs w:val="32"/>
          <w:highlight w:val="none"/>
        </w:rPr>
        <w:t>存在的主要问题</w:t>
      </w:r>
      <w:r>
        <w:rPr>
          <w:rStyle w:val="8"/>
          <w:rFonts w:hint="eastAsia" w:ascii="黑体" w:hAnsi="黑体" w:eastAsia="黑体" w:cs="黑体"/>
          <w:b w:val="0"/>
          <w:bCs w:val="0"/>
          <w:color w:val="auto"/>
          <w:spacing w:val="-4"/>
          <w:sz w:val="32"/>
          <w:szCs w:val="32"/>
          <w:highlight w:val="none"/>
          <w:lang w:eastAsia="zh-CN"/>
        </w:rPr>
        <w:t>及原因分析</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（1）预算绩效观念不深入。</w:t>
      </w:r>
    </w:p>
    <w:p>
      <w:pPr>
        <w:spacing w:line="600" w:lineRule="exact"/>
        <w:ind w:firstLine="624" w:firstLineChars="200"/>
        <w:jc w:val="left"/>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在日常绩效监控工作中存在着一定程度的“重分配、轻管理、重支出、轻绩效”的情况，造成该问题的主要原因是自身绩效理念较薄弱，单位绩效目标编制仍有缺失，需要进一步加强对资金绩效管理的重视程度。</w:t>
      </w:r>
    </w:p>
    <w:p>
      <w:pPr>
        <w:numPr>
          <w:ilvl w:val="0"/>
          <w:numId w:val="2"/>
        </w:numPr>
        <w:spacing w:line="600" w:lineRule="exact"/>
        <w:ind w:left="638" w:leftChars="304" w:firstLine="0" w:firstLineChars="0"/>
        <w:jc w:val="left"/>
        <w:rPr>
          <w:rStyle w:val="8"/>
          <w:rFonts w:hint="eastAsia" w:ascii="仿宋" w:hAnsi="仿宋" w:eastAsia="仿宋" w:cs="仿宋"/>
          <w:b w:val="0"/>
          <w:color w:val="auto"/>
          <w:spacing w:val="-4"/>
          <w:kern w:val="2"/>
          <w:sz w:val="32"/>
          <w:szCs w:val="32"/>
          <w:highlight w:val="none"/>
          <w:lang w:val="en-US" w:eastAsia="zh-CN" w:bidi="ar-SA"/>
        </w:rPr>
      </w:pPr>
      <w:r>
        <w:rPr>
          <w:rStyle w:val="8"/>
          <w:rFonts w:hint="eastAsia" w:ascii="仿宋" w:hAnsi="仿宋" w:eastAsia="仿宋" w:cs="仿宋"/>
          <w:b w:val="0"/>
          <w:color w:val="auto"/>
          <w:spacing w:val="-4"/>
          <w:kern w:val="2"/>
          <w:sz w:val="32"/>
          <w:szCs w:val="32"/>
          <w:highlight w:val="none"/>
          <w:lang w:val="en-US" w:eastAsia="zh-CN" w:bidi="ar-SA"/>
        </w:rPr>
        <w:t>预算绩效规范管理有盲点。</w:t>
      </w:r>
    </w:p>
    <w:p>
      <w:pPr>
        <w:numPr>
          <w:ilvl w:val="0"/>
          <w:numId w:val="0"/>
        </w:numPr>
        <w:spacing w:line="600" w:lineRule="exact"/>
        <w:ind w:firstLine="624" w:firstLineChars="200"/>
        <w:jc w:val="left"/>
        <w:rPr>
          <w:rFonts w:ascii="仿宋_GB2312" w:hAnsi="宋体" w:eastAsia="仿宋_GB2312"/>
          <w:b/>
          <w:color w:val="auto"/>
          <w:sz w:val="32"/>
          <w:szCs w:val="32"/>
          <w:highlight w:val="none"/>
        </w:rPr>
      </w:pPr>
      <w:r>
        <w:rPr>
          <w:rStyle w:val="8"/>
          <w:rFonts w:hint="eastAsia" w:ascii="仿宋" w:hAnsi="仿宋" w:eastAsia="仿宋" w:cs="仿宋"/>
          <w:b w:val="0"/>
          <w:color w:val="auto"/>
          <w:spacing w:val="-4"/>
          <w:kern w:val="2"/>
          <w:sz w:val="32"/>
          <w:szCs w:val="32"/>
          <w:highlight w:val="none"/>
          <w:lang w:val="en-US" w:eastAsia="zh-CN" w:bidi="ar-SA"/>
        </w:rPr>
        <w:t xml:space="preserve">财务人员面对当前绩效管理工作既没有现成的经验可供借鉴，又缺乏专业性很强的技能储备，只能是边工作、边学习、边积累，短期内部分工作只能停留在表面，难以做到程序规范、管理科学，难以满足当前绩效管理要求。 </w:t>
      </w:r>
      <w:r>
        <w:rPr>
          <w:rFonts w:hint="eastAsia" w:ascii="仿宋_GB2312" w:hAnsi="宋体" w:eastAsia="仿宋_GB2312"/>
          <w:b/>
          <w:color w:val="auto"/>
          <w:sz w:val="32"/>
          <w:szCs w:val="32"/>
          <w:highlight w:val="none"/>
        </w:rPr>
        <w:t xml:space="preserve">   </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六、</w:t>
      </w:r>
      <w:r>
        <w:rPr>
          <w:rStyle w:val="8"/>
          <w:rFonts w:hint="eastAsia" w:ascii="黑体" w:hAnsi="黑体" w:eastAsia="黑体" w:cs="黑体"/>
          <w:b w:val="0"/>
          <w:bCs w:val="0"/>
          <w:color w:val="auto"/>
          <w:spacing w:val="-4"/>
          <w:sz w:val="32"/>
          <w:szCs w:val="32"/>
          <w:highlight w:val="none"/>
        </w:rPr>
        <w:t>改进措施和建议</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仿宋" w:hAnsi="仿宋" w:eastAsia="仿宋" w:cs="仿宋"/>
          <w:b w:val="0"/>
          <w:bCs w:val="0"/>
          <w:color w:val="auto"/>
          <w:spacing w:val="-4"/>
          <w:sz w:val="32"/>
          <w:szCs w:val="32"/>
          <w:highlight w:val="none"/>
          <w:lang w:val="en-US" w:eastAsia="zh-CN"/>
        </w:rPr>
      </w:pPr>
      <w:r>
        <w:rPr>
          <w:rStyle w:val="8"/>
          <w:rFonts w:hint="eastAsia" w:ascii="仿宋" w:hAnsi="仿宋" w:eastAsia="仿宋" w:cs="仿宋"/>
          <w:b w:val="0"/>
          <w:bCs w:val="0"/>
          <w:color w:val="auto"/>
          <w:spacing w:val="-4"/>
          <w:sz w:val="32"/>
          <w:szCs w:val="32"/>
          <w:highlight w:val="none"/>
          <w:lang w:val="en-US" w:eastAsia="zh-CN"/>
        </w:rPr>
        <w:t>1、进一步完善整体绩效目标设置，确保绩效目标与工作规划有效衔接，规范设置目标，提高绩效指标的针对性，确保覆盖我单位主要职能和重点工作任务；完善绩效运行监控，确保绩效目标和预算执行进度相匹配。</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default" w:ascii="仿宋" w:hAnsi="仿宋" w:eastAsia="仿宋" w:cs="仿宋"/>
          <w:b w:val="0"/>
          <w:bCs w:val="0"/>
          <w:color w:val="auto"/>
          <w:spacing w:val="-4"/>
          <w:sz w:val="32"/>
          <w:szCs w:val="32"/>
          <w:highlight w:val="none"/>
          <w:lang w:val="en-US" w:eastAsia="zh-CN"/>
        </w:rPr>
      </w:pPr>
      <w:r>
        <w:rPr>
          <w:rStyle w:val="8"/>
          <w:rFonts w:hint="eastAsia" w:ascii="仿宋" w:hAnsi="仿宋" w:eastAsia="仿宋" w:cs="仿宋"/>
          <w:b w:val="0"/>
          <w:bCs w:val="0"/>
          <w:color w:val="auto"/>
          <w:spacing w:val="-4"/>
          <w:sz w:val="32"/>
          <w:szCs w:val="32"/>
          <w:highlight w:val="none"/>
          <w:lang w:val="en-US" w:eastAsia="zh-CN"/>
        </w:rPr>
        <w:t>2、加强对财务人员及重点业务骨干进行绩效工作培训，提高预算的科学性合理性，提升工作精细化管理，将绩效管理关节贯穿工作的整个环节，及时发现存在问题，提高工作效率。</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七、</w:t>
      </w:r>
      <w:r>
        <w:rPr>
          <w:rStyle w:val="8"/>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1DCEA7-78FE-4F10-BCE3-73A7A940E45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2" w:fontKey="{81018AF8-C2CA-4C48-9D8D-95D3113F90EC}"/>
  </w:font>
  <w:font w:name="仿宋_GB2312">
    <w:panose1 w:val="02010609030101010101"/>
    <w:charset w:val="86"/>
    <w:family w:val="modern"/>
    <w:pitch w:val="default"/>
    <w:sig w:usb0="00000001" w:usb1="080E0000" w:usb2="00000000" w:usb3="00000000" w:csb0="00040000" w:csb1="00000000"/>
    <w:embedRegular r:id="rId3" w:fontKey="{E63A4CD9-508C-4768-B47D-BBF514DD27E5}"/>
  </w:font>
  <w:font w:name="楷体">
    <w:panose1 w:val="02010609060101010101"/>
    <w:charset w:val="86"/>
    <w:family w:val="modern"/>
    <w:pitch w:val="default"/>
    <w:sig w:usb0="800002BF" w:usb1="38CF7CFA" w:usb2="00000016" w:usb3="00000000" w:csb0="00040001" w:csb1="00000000"/>
    <w:embedRegular r:id="rId4" w:fontKey="{A0B77F0D-A558-401A-9F3C-A6E70CF0A129}"/>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52DF44"/>
    <w:multiLevelType w:val="singleLevel"/>
    <w:tmpl w:val="C852DF44"/>
    <w:lvl w:ilvl="0" w:tentative="0">
      <w:start w:val="5"/>
      <w:numFmt w:val="chineseCounting"/>
      <w:suff w:val="nothing"/>
      <w:lvlText w:val="%1、"/>
      <w:lvlJc w:val="left"/>
      <w:rPr>
        <w:rFonts w:hint="eastAsia"/>
      </w:rPr>
    </w:lvl>
  </w:abstractNum>
  <w:abstractNum w:abstractNumId="1">
    <w:nsid w:val="76A9EF71"/>
    <w:multiLevelType w:val="singleLevel"/>
    <w:tmpl w:val="76A9EF71"/>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6D0077"/>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9052BE"/>
    <w:rsid w:val="07A86AAB"/>
    <w:rsid w:val="07C65825"/>
    <w:rsid w:val="09067414"/>
    <w:rsid w:val="09170A81"/>
    <w:rsid w:val="0AC27E84"/>
    <w:rsid w:val="0B0F5B25"/>
    <w:rsid w:val="0BCA1CE8"/>
    <w:rsid w:val="0BD256C9"/>
    <w:rsid w:val="0CD94A59"/>
    <w:rsid w:val="0D3F0613"/>
    <w:rsid w:val="0D617282"/>
    <w:rsid w:val="0F4E1CE6"/>
    <w:rsid w:val="0F661726"/>
    <w:rsid w:val="0F772EC6"/>
    <w:rsid w:val="0F877334"/>
    <w:rsid w:val="10182B28"/>
    <w:rsid w:val="109160DD"/>
    <w:rsid w:val="10947BCD"/>
    <w:rsid w:val="114B3E5E"/>
    <w:rsid w:val="115E3FEE"/>
    <w:rsid w:val="116B384E"/>
    <w:rsid w:val="11DD16C8"/>
    <w:rsid w:val="123814F3"/>
    <w:rsid w:val="127A77C1"/>
    <w:rsid w:val="130A20A3"/>
    <w:rsid w:val="13352CE1"/>
    <w:rsid w:val="13E07D60"/>
    <w:rsid w:val="150177FB"/>
    <w:rsid w:val="15875F52"/>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6D6D72"/>
    <w:rsid w:val="1AEB4D61"/>
    <w:rsid w:val="1C230AC0"/>
    <w:rsid w:val="1C615CEF"/>
    <w:rsid w:val="1CDA72AF"/>
    <w:rsid w:val="1D413DDA"/>
    <w:rsid w:val="1D632B53"/>
    <w:rsid w:val="1D7602A9"/>
    <w:rsid w:val="1DB4365C"/>
    <w:rsid w:val="1DC83D3D"/>
    <w:rsid w:val="1E613949"/>
    <w:rsid w:val="1EAE0073"/>
    <w:rsid w:val="1F195A2C"/>
    <w:rsid w:val="205102FB"/>
    <w:rsid w:val="20762FC4"/>
    <w:rsid w:val="212C60E2"/>
    <w:rsid w:val="21DB6E7F"/>
    <w:rsid w:val="21DE15EF"/>
    <w:rsid w:val="23021A8B"/>
    <w:rsid w:val="2320540D"/>
    <w:rsid w:val="23254B60"/>
    <w:rsid w:val="236E0539"/>
    <w:rsid w:val="23E6478B"/>
    <w:rsid w:val="2422471A"/>
    <w:rsid w:val="24A85EE5"/>
    <w:rsid w:val="24DB72C2"/>
    <w:rsid w:val="263962DE"/>
    <w:rsid w:val="276460F3"/>
    <w:rsid w:val="27660FAF"/>
    <w:rsid w:val="277166D1"/>
    <w:rsid w:val="277B4318"/>
    <w:rsid w:val="27B7194D"/>
    <w:rsid w:val="27E37B45"/>
    <w:rsid w:val="280600C8"/>
    <w:rsid w:val="28081174"/>
    <w:rsid w:val="28481571"/>
    <w:rsid w:val="286825B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AA6B58"/>
    <w:rsid w:val="2DB034FA"/>
    <w:rsid w:val="2E4A4A48"/>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D2302"/>
    <w:rsid w:val="33935522"/>
    <w:rsid w:val="33DE0EF4"/>
    <w:rsid w:val="3416678C"/>
    <w:rsid w:val="34486A39"/>
    <w:rsid w:val="34C13400"/>
    <w:rsid w:val="34F32864"/>
    <w:rsid w:val="35386E11"/>
    <w:rsid w:val="35612ABD"/>
    <w:rsid w:val="369E4A52"/>
    <w:rsid w:val="374C0952"/>
    <w:rsid w:val="375B2943"/>
    <w:rsid w:val="38086A4E"/>
    <w:rsid w:val="38C32119"/>
    <w:rsid w:val="38EE054F"/>
    <w:rsid w:val="39440A0C"/>
    <w:rsid w:val="398443D3"/>
    <w:rsid w:val="398C3287"/>
    <w:rsid w:val="39A60AF6"/>
    <w:rsid w:val="3AA12D62"/>
    <w:rsid w:val="3B2319C9"/>
    <w:rsid w:val="3B5D5890"/>
    <w:rsid w:val="3BA6683D"/>
    <w:rsid w:val="3BC431AC"/>
    <w:rsid w:val="3C012639"/>
    <w:rsid w:val="3CFB21B1"/>
    <w:rsid w:val="3DA52B6A"/>
    <w:rsid w:val="3E833FCF"/>
    <w:rsid w:val="3EE3321B"/>
    <w:rsid w:val="3EE93EED"/>
    <w:rsid w:val="3F177A97"/>
    <w:rsid w:val="3FF57BF1"/>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BF2EEE"/>
    <w:rsid w:val="47013FF5"/>
    <w:rsid w:val="484A2C8B"/>
    <w:rsid w:val="48500FEB"/>
    <w:rsid w:val="48E7672C"/>
    <w:rsid w:val="49284D7B"/>
    <w:rsid w:val="49487285"/>
    <w:rsid w:val="49543DC1"/>
    <w:rsid w:val="4A0F39E7"/>
    <w:rsid w:val="4B364032"/>
    <w:rsid w:val="4B3B68BB"/>
    <w:rsid w:val="4B443785"/>
    <w:rsid w:val="4B537C75"/>
    <w:rsid w:val="4B8E2187"/>
    <w:rsid w:val="4BE53646"/>
    <w:rsid w:val="4C431ECB"/>
    <w:rsid w:val="4CC33C9F"/>
    <w:rsid w:val="4E760D0B"/>
    <w:rsid w:val="4E8F65E3"/>
    <w:rsid w:val="4EC80245"/>
    <w:rsid w:val="4ED65AC3"/>
    <w:rsid w:val="4F596A69"/>
    <w:rsid w:val="50063DD3"/>
    <w:rsid w:val="504133D8"/>
    <w:rsid w:val="505863A4"/>
    <w:rsid w:val="50591CBD"/>
    <w:rsid w:val="50A240F7"/>
    <w:rsid w:val="51971C1E"/>
    <w:rsid w:val="51FF2E33"/>
    <w:rsid w:val="525877BC"/>
    <w:rsid w:val="5272504D"/>
    <w:rsid w:val="52CA50F4"/>
    <w:rsid w:val="543D24BF"/>
    <w:rsid w:val="548754B8"/>
    <w:rsid w:val="54CA318A"/>
    <w:rsid w:val="55517AB0"/>
    <w:rsid w:val="57192BB8"/>
    <w:rsid w:val="5734671F"/>
    <w:rsid w:val="57423EBA"/>
    <w:rsid w:val="57813298"/>
    <w:rsid w:val="57AE7CE9"/>
    <w:rsid w:val="57BB500C"/>
    <w:rsid w:val="58753EBA"/>
    <w:rsid w:val="58E426FC"/>
    <w:rsid w:val="58FC3B2E"/>
    <w:rsid w:val="59063548"/>
    <w:rsid w:val="5A6776CD"/>
    <w:rsid w:val="5ADD1E8F"/>
    <w:rsid w:val="5AE6303A"/>
    <w:rsid w:val="5B155A7C"/>
    <w:rsid w:val="5B442B97"/>
    <w:rsid w:val="5B745BFD"/>
    <w:rsid w:val="5B977B3E"/>
    <w:rsid w:val="5C5B0B6B"/>
    <w:rsid w:val="5CB643E4"/>
    <w:rsid w:val="5D3513BC"/>
    <w:rsid w:val="5D8D11F8"/>
    <w:rsid w:val="5E2D5305"/>
    <w:rsid w:val="5F1D65AC"/>
    <w:rsid w:val="5F230066"/>
    <w:rsid w:val="5F41229A"/>
    <w:rsid w:val="5F814D8D"/>
    <w:rsid w:val="5FA47678"/>
    <w:rsid w:val="5FE455B0"/>
    <w:rsid w:val="60504E56"/>
    <w:rsid w:val="60535261"/>
    <w:rsid w:val="60C1349F"/>
    <w:rsid w:val="627A5057"/>
    <w:rsid w:val="62A033DD"/>
    <w:rsid w:val="62B113CD"/>
    <w:rsid w:val="62D376AD"/>
    <w:rsid w:val="63002758"/>
    <w:rsid w:val="63886101"/>
    <w:rsid w:val="63E072F9"/>
    <w:rsid w:val="63E738F2"/>
    <w:rsid w:val="648B2856"/>
    <w:rsid w:val="64AD2180"/>
    <w:rsid w:val="64F46001"/>
    <w:rsid w:val="658E5B0E"/>
    <w:rsid w:val="65BB267B"/>
    <w:rsid w:val="65D86017"/>
    <w:rsid w:val="65E6594A"/>
    <w:rsid w:val="660E1EAC"/>
    <w:rsid w:val="661600DA"/>
    <w:rsid w:val="66DF5346"/>
    <w:rsid w:val="66E14AAB"/>
    <w:rsid w:val="6736630B"/>
    <w:rsid w:val="67EE0E11"/>
    <w:rsid w:val="6847739E"/>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0B6BAC"/>
    <w:rsid w:val="71182116"/>
    <w:rsid w:val="71205936"/>
    <w:rsid w:val="71477CCB"/>
    <w:rsid w:val="7178018F"/>
    <w:rsid w:val="71BA40BB"/>
    <w:rsid w:val="71CD052F"/>
    <w:rsid w:val="731F1F0A"/>
    <w:rsid w:val="73740A39"/>
    <w:rsid w:val="73D43285"/>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9500F4C"/>
    <w:rsid w:val="7986195D"/>
    <w:rsid w:val="79E005EE"/>
    <w:rsid w:val="7A044DC4"/>
    <w:rsid w:val="7A865511"/>
    <w:rsid w:val="7AA20E97"/>
    <w:rsid w:val="7AAA4D40"/>
    <w:rsid w:val="7ABC4A73"/>
    <w:rsid w:val="7AC10876"/>
    <w:rsid w:val="7B2F16E9"/>
    <w:rsid w:val="7B334ED0"/>
    <w:rsid w:val="7BBA5457"/>
    <w:rsid w:val="7C4B6886"/>
    <w:rsid w:val="7C71236F"/>
    <w:rsid w:val="7C7B25BC"/>
    <w:rsid w:val="7C887303"/>
    <w:rsid w:val="7C8D2B6B"/>
    <w:rsid w:val="7D360B0D"/>
    <w:rsid w:val="7D55069E"/>
    <w:rsid w:val="7D670C49"/>
    <w:rsid w:val="7D711B45"/>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0"/>
    <w:rPr>
      <w:b/>
      <w:bCs/>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4346</Words>
  <Characters>4583</Characters>
  <Lines>9</Lines>
  <Paragraphs>2</Paragraphs>
  <TotalTime>6</TotalTime>
  <ScaleCrop>false</ScaleCrop>
  <LinksUpToDate>false</LinksUpToDate>
  <CharactersWithSpaces>4615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2024-08-21T04:36:01Z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6336965E8F464E5D930EE1557CAB3725</vt:lpwstr>
  </property>
</Properties>
</file>